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F33DD" w14:textId="77777777" w:rsidR="00FB1BF4" w:rsidRDefault="00FB1BF4" w:rsidP="00FB1BF4">
      <w:pPr>
        <w:spacing w:after="0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78B26CD" wp14:editId="3F5A2CE5">
            <wp:simplePos x="0" y="0"/>
            <wp:positionH relativeFrom="column">
              <wp:posOffset>-520065</wp:posOffset>
            </wp:positionH>
            <wp:positionV relativeFrom="paragraph">
              <wp:posOffset>-683260</wp:posOffset>
            </wp:positionV>
            <wp:extent cx="2032635" cy="840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gate-Hospice_logo_full-color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EastAsia" w:hAnsi="Arial" w:cs="Arial"/>
          <w:b/>
          <w:bCs/>
          <w:sz w:val="24"/>
          <w:szCs w:val="24"/>
        </w:rPr>
        <w:t xml:space="preserve">                                     </w:t>
      </w:r>
    </w:p>
    <w:p w14:paraId="27B4F628" w14:textId="77777777" w:rsidR="00FB1BF4" w:rsidRDefault="00FB1BF4" w:rsidP="00FB1BF4">
      <w:pPr>
        <w:spacing w:after="0"/>
        <w:rPr>
          <w:rFonts w:ascii="Arial" w:eastAsiaTheme="minorEastAsia" w:hAnsi="Arial" w:cs="Arial"/>
          <w:b/>
          <w:bCs/>
          <w:sz w:val="24"/>
          <w:szCs w:val="24"/>
        </w:rPr>
      </w:pPr>
    </w:p>
    <w:p w14:paraId="27832DE4" w14:textId="4A7E6785" w:rsidR="007F0091" w:rsidRPr="00FB1BF4" w:rsidRDefault="00FB1BF4" w:rsidP="00FB1BF4">
      <w:pPr>
        <w:spacing w:after="0"/>
        <w:rPr>
          <w:rFonts w:ascii="Arial" w:eastAsiaTheme="minorEastAsia" w:hAnsi="Arial" w:cs="Arial"/>
          <w:b/>
          <w:bCs/>
          <w:sz w:val="24"/>
          <w:szCs w:val="24"/>
        </w:rPr>
      </w:pPr>
      <w:proofErr w:type="spellStart"/>
      <w:r>
        <w:rPr>
          <w:rFonts w:ascii="Arial" w:eastAsiaTheme="minorEastAsia" w:hAnsi="Arial" w:cs="Arial"/>
          <w:b/>
          <w:bCs/>
          <w:sz w:val="24"/>
          <w:szCs w:val="24"/>
        </w:rPr>
        <w:t>Ashgate</w:t>
      </w:r>
      <w:proofErr w:type="spellEnd"/>
      <w:r>
        <w:rPr>
          <w:rFonts w:ascii="Arial" w:eastAsiaTheme="minorEastAsia" w:hAnsi="Arial" w:cs="Arial"/>
          <w:b/>
          <w:bCs/>
          <w:sz w:val="24"/>
          <w:szCs w:val="24"/>
        </w:rPr>
        <w:t xml:space="preserve"> Hospice </w:t>
      </w:r>
      <w:r w:rsidR="007F0091" w:rsidRPr="00741E9B">
        <w:rPr>
          <w:rFonts w:ascii="Arial" w:eastAsiaTheme="minorEastAsia" w:hAnsi="Arial" w:cs="Arial"/>
          <w:b/>
          <w:bCs/>
          <w:sz w:val="24"/>
          <w:szCs w:val="24"/>
        </w:rPr>
        <w:t xml:space="preserve">Palliative </w:t>
      </w:r>
      <w:r w:rsidR="00A3074B" w:rsidRPr="00741E9B">
        <w:rPr>
          <w:rFonts w:ascii="Arial" w:eastAsiaTheme="minorEastAsia" w:hAnsi="Arial" w:cs="Arial"/>
          <w:b/>
          <w:bCs/>
          <w:sz w:val="24"/>
          <w:szCs w:val="24"/>
        </w:rPr>
        <w:t xml:space="preserve">Care </w:t>
      </w:r>
      <w:r>
        <w:rPr>
          <w:rFonts w:ascii="Arial" w:eastAsiaTheme="minorEastAsia" w:hAnsi="Arial" w:cs="Arial"/>
          <w:b/>
          <w:bCs/>
          <w:sz w:val="24"/>
          <w:szCs w:val="24"/>
        </w:rPr>
        <w:t xml:space="preserve">Specialist </w:t>
      </w:r>
      <w:r w:rsidR="00A3074B" w:rsidRPr="00741E9B">
        <w:rPr>
          <w:rFonts w:ascii="Arial" w:eastAsiaTheme="minorEastAsia" w:hAnsi="Arial" w:cs="Arial"/>
          <w:b/>
          <w:bCs/>
          <w:sz w:val="24"/>
          <w:szCs w:val="24"/>
        </w:rPr>
        <w:t xml:space="preserve">Nurse </w:t>
      </w:r>
      <w:r>
        <w:rPr>
          <w:rFonts w:ascii="Arial" w:eastAsiaTheme="minorEastAsia" w:hAnsi="Arial" w:cs="Arial"/>
          <w:b/>
          <w:bCs/>
          <w:sz w:val="24"/>
          <w:szCs w:val="24"/>
        </w:rPr>
        <w:t xml:space="preserve">Team </w:t>
      </w:r>
      <w:r w:rsidR="007F0091" w:rsidRPr="00741E9B">
        <w:rPr>
          <w:rFonts w:ascii="Arial" w:eastAsiaTheme="minorEastAsia" w:hAnsi="Arial" w:cs="Arial"/>
          <w:b/>
          <w:bCs/>
          <w:sz w:val="24"/>
          <w:szCs w:val="24"/>
        </w:rPr>
        <w:t>Referral Criteria</w:t>
      </w:r>
    </w:p>
    <w:p w14:paraId="43F9E2CC" w14:textId="56F5CEC6" w:rsidR="00541592" w:rsidRPr="00741E9B" w:rsidRDefault="00541592" w:rsidP="00FB1BF4">
      <w:pPr>
        <w:spacing w:after="0"/>
        <w:rPr>
          <w:rFonts w:ascii="Arial" w:eastAsiaTheme="minorEastAsia" w:hAnsi="Arial" w:cs="Arial"/>
          <w:sz w:val="24"/>
          <w:szCs w:val="24"/>
          <w:u w:val="single"/>
        </w:rPr>
      </w:pPr>
    </w:p>
    <w:p w14:paraId="13E2243F" w14:textId="2B70580D" w:rsidR="00250B61" w:rsidRPr="00741E9B" w:rsidRDefault="00D73CEC" w:rsidP="00FB1BF4">
      <w:pPr>
        <w:pStyle w:val="ListParagraph"/>
        <w:spacing w:after="0"/>
        <w:ind w:left="0"/>
        <w:rPr>
          <w:rFonts w:ascii="Arial" w:eastAsiaTheme="minorEastAsia" w:hAnsi="Arial" w:cs="Arial"/>
          <w:b/>
          <w:bCs/>
          <w:sz w:val="24"/>
          <w:szCs w:val="24"/>
        </w:rPr>
      </w:pPr>
      <w:r w:rsidRPr="00F75489">
        <w:rPr>
          <w:rFonts w:ascii="Arial" w:eastAsiaTheme="minorEastAsia" w:hAnsi="Arial" w:cs="Arial"/>
          <w:b/>
          <w:bCs/>
          <w:sz w:val="24"/>
          <w:szCs w:val="24"/>
        </w:rPr>
        <w:t xml:space="preserve">Please note the </w:t>
      </w:r>
      <w:r>
        <w:rPr>
          <w:rFonts w:ascii="Arial" w:eastAsiaTheme="minorEastAsia" w:hAnsi="Arial" w:cs="Arial"/>
          <w:b/>
          <w:bCs/>
          <w:sz w:val="24"/>
          <w:szCs w:val="24"/>
        </w:rPr>
        <w:t>primary care team</w:t>
      </w:r>
      <w:r w:rsidRPr="00F75489">
        <w:rPr>
          <w:rFonts w:ascii="Arial" w:eastAsiaTheme="minorEastAsia" w:hAnsi="Arial" w:cs="Arial"/>
          <w:b/>
          <w:bCs/>
          <w:sz w:val="24"/>
          <w:szCs w:val="24"/>
        </w:rPr>
        <w:t xml:space="preserve"> will remain the key workers for the patient. </w:t>
      </w:r>
      <w:r w:rsidR="00250B61" w:rsidRPr="00741E9B">
        <w:rPr>
          <w:rFonts w:ascii="Arial" w:eastAsiaTheme="minorEastAsia" w:hAnsi="Arial" w:cs="Arial"/>
          <w:b/>
          <w:bCs/>
          <w:sz w:val="24"/>
          <w:szCs w:val="24"/>
        </w:rPr>
        <w:t>Once patient needs are assessed as stable</w:t>
      </w:r>
      <w:r w:rsidR="00285737">
        <w:rPr>
          <w:rFonts w:ascii="Arial" w:eastAsiaTheme="minorEastAsia" w:hAnsi="Arial" w:cs="Arial"/>
          <w:b/>
          <w:bCs/>
          <w:sz w:val="24"/>
          <w:szCs w:val="24"/>
        </w:rPr>
        <w:t xml:space="preserve"> (low complexity)</w:t>
      </w:r>
      <w:r w:rsidR="00250B61" w:rsidRPr="00741E9B">
        <w:rPr>
          <w:rFonts w:ascii="Arial" w:eastAsiaTheme="minorEastAsia" w:hAnsi="Arial" w:cs="Arial"/>
          <w:b/>
          <w:bCs/>
          <w:sz w:val="24"/>
          <w:szCs w:val="24"/>
        </w:rPr>
        <w:t xml:space="preserve"> by the </w:t>
      </w:r>
      <w:r w:rsidR="00450AE7">
        <w:rPr>
          <w:rFonts w:ascii="Arial" w:eastAsiaTheme="minorEastAsia" w:hAnsi="Arial" w:cs="Arial"/>
          <w:b/>
          <w:bCs/>
          <w:sz w:val="24"/>
          <w:szCs w:val="24"/>
        </w:rPr>
        <w:t>Palliative Care</w:t>
      </w:r>
      <w:r w:rsidR="00285737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FB1BF4">
        <w:rPr>
          <w:rFonts w:ascii="Arial" w:eastAsiaTheme="minorEastAsia" w:hAnsi="Arial" w:cs="Arial"/>
          <w:b/>
          <w:bCs/>
          <w:sz w:val="24"/>
          <w:szCs w:val="24"/>
        </w:rPr>
        <w:t xml:space="preserve">Specialist </w:t>
      </w:r>
      <w:r w:rsidR="00285737">
        <w:rPr>
          <w:rFonts w:ascii="Arial" w:eastAsiaTheme="minorEastAsia" w:hAnsi="Arial" w:cs="Arial"/>
          <w:b/>
          <w:bCs/>
          <w:sz w:val="24"/>
          <w:szCs w:val="24"/>
        </w:rPr>
        <w:t xml:space="preserve">Nurse </w:t>
      </w:r>
      <w:r w:rsidR="00250B61" w:rsidRPr="00741E9B">
        <w:rPr>
          <w:rFonts w:ascii="Arial" w:eastAsiaTheme="minorEastAsia" w:hAnsi="Arial" w:cs="Arial"/>
          <w:b/>
          <w:bCs/>
          <w:sz w:val="24"/>
          <w:szCs w:val="24"/>
        </w:rPr>
        <w:t>team they will be discharged to their primary care team and/or signposted to another hospice service for ongoing support and management.</w:t>
      </w:r>
    </w:p>
    <w:p w14:paraId="2F0A57CD" w14:textId="77777777" w:rsidR="00541592" w:rsidRPr="00741E9B" w:rsidRDefault="00541592" w:rsidP="521D8F92">
      <w:pPr>
        <w:spacing w:after="0"/>
        <w:jc w:val="center"/>
        <w:rPr>
          <w:rFonts w:ascii="Arial" w:eastAsiaTheme="minorEastAsia" w:hAnsi="Arial" w:cs="Arial"/>
          <w:sz w:val="24"/>
          <w:szCs w:val="24"/>
          <w:u w:val="single"/>
        </w:rPr>
      </w:pPr>
    </w:p>
    <w:p w14:paraId="0A56CBB1" w14:textId="43DE1137" w:rsidR="007F0091" w:rsidRPr="00741E9B" w:rsidRDefault="007F0091" w:rsidP="521D8F92">
      <w:pPr>
        <w:spacing w:after="0"/>
        <w:rPr>
          <w:rFonts w:ascii="Arial" w:eastAsiaTheme="minorEastAsia" w:hAnsi="Arial" w:cs="Arial"/>
          <w:sz w:val="24"/>
          <w:szCs w:val="24"/>
          <w:u w:val="single"/>
        </w:rPr>
      </w:pPr>
    </w:p>
    <w:p w14:paraId="6A37636A" w14:textId="7C807905" w:rsidR="00BB5218" w:rsidRPr="00BB5218" w:rsidRDefault="00BB5218" w:rsidP="00BB5218">
      <w:pPr>
        <w:pStyle w:val="ListParagraph"/>
        <w:numPr>
          <w:ilvl w:val="0"/>
          <w:numId w:val="1"/>
        </w:numPr>
        <w:spacing w:after="0"/>
        <w:ind w:left="0"/>
        <w:rPr>
          <w:rFonts w:ascii="Arial" w:eastAsiaTheme="minorEastAsia" w:hAnsi="Arial" w:cs="Arial"/>
          <w:sz w:val="24"/>
          <w:szCs w:val="24"/>
        </w:rPr>
      </w:pPr>
      <w:r w:rsidRPr="000826C2">
        <w:rPr>
          <w:rFonts w:ascii="Arial" w:eastAsiaTheme="minorEastAsia" w:hAnsi="Arial" w:cs="Arial"/>
          <w:sz w:val="24"/>
          <w:szCs w:val="24"/>
        </w:rPr>
        <w:t xml:space="preserve">Patients who are 18 and over and registered with a GP from </w:t>
      </w:r>
      <w:r w:rsidRPr="000826C2">
        <w:rPr>
          <w:rFonts w:ascii="Arial" w:hAnsi="Arial" w:cs="Arial"/>
          <w:sz w:val="24"/>
          <w:szCs w:val="24"/>
          <w:lang w:val="en-US"/>
        </w:rPr>
        <w:t>NHS Derby and Derbyshire CCG (North Localities)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67AFAF66" w14:textId="77777777" w:rsidR="00BB5218" w:rsidRPr="000826C2" w:rsidRDefault="00BB5218" w:rsidP="00BB5218">
      <w:pPr>
        <w:pStyle w:val="ListParagraph"/>
        <w:spacing w:after="0"/>
        <w:ind w:left="0"/>
        <w:rPr>
          <w:rFonts w:ascii="Arial" w:eastAsiaTheme="minorEastAsia" w:hAnsi="Arial" w:cs="Arial"/>
          <w:sz w:val="24"/>
          <w:szCs w:val="24"/>
        </w:rPr>
      </w:pPr>
    </w:p>
    <w:p w14:paraId="14BACA3F" w14:textId="0CB78C83" w:rsidR="001067DD" w:rsidRPr="00741E9B" w:rsidRDefault="004700FE" w:rsidP="521D8F92">
      <w:pPr>
        <w:pStyle w:val="ListParagraph"/>
        <w:numPr>
          <w:ilvl w:val="0"/>
          <w:numId w:val="1"/>
        </w:numPr>
        <w:spacing w:after="0"/>
        <w:ind w:left="0"/>
        <w:rPr>
          <w:rFonts w:ascii="Arial" w:eastAsiaTheme="minorEastAsia" w:hAnsi="Arial" w:cs="Arial"/>
          <w:sz w:val="24"/>
          <w:szCs w:val="24"/>
        </w:rPr>
      </w:pPr>
      <w:r w:rsidRPr="00741E9B">
        <w:rPr>
          <w:rFonts w:ascii="Arial" w:eastAsiaTheme="minorEastAsia" w:hAnsi="Arial" w:cs="Arial"/>
          <w:sz w:val="24"/>
          <w:szCs w:val="24"/>
        </w:rPr>
        <w:t xml:space="preserve">Have an active progressive advanced disease with a limited prognosis and the focus of care is </w:t>
      </w:r>
      <w:r w:rsidR="005B4D00" w:rsidRPr="00741E9B">
        <w:rPr>
          <w:rFonts w:ascii="Arial" w:eastAsiaTheme="minorEastAsia" w:hAnsi="Arial" w:cs="Arial"/>
          <w:sz w:val="24"/>
          <w:szCs w:val="24"/>
        </w:rPr>
        <w:t>palliative, rather than curative intent.</w:t>
      </w:r>
    </w:p>
    <w:p w14:paraId="28353F5E" w14:textId="77777777" w:rsidR="001067DD" w:rsidRPr="00741E9B" w:rsidRDefault="001067DD" w:rsidP="521D8F92">
      <w:pPr>
        <w:pStyle w:val="ListParagraph"/>
        <w:spacing w:after="0"/>
        <w:ind w:left="0"/>
        <w:rPr>
          <w:rFonts w:ascii="Arial" w:eastAsiaTheme="minorEastAsia" w:hAnsi="Arial" w:cs="Arial"/>
          <w:sz w:val="24"/>
          <w:szCs w:val="24"/>
        </w:rPr>
      </w:pPr>
    </w:p>
    <w:p w14:paraId="0152D2E1" w14:textId="1A6035B8" w:rsidR="005B4D00" w:rsidRPr="00741E9B" w:rsidRDefault="004700FE" w:rsidP="521D8F92">
      <w:pPr>
        <w:pStyle w:val="ListParagraph"/>
        <w:numPr>
          <w:ilvl w:val="0"/>
          <w:numId w:val="1"/>
        </w:numPr>
        <w:spacing w:after="0"/>
        <w:ind w:left="0"/>
        <w:rPr>
          <w:rFonts w:ascii="Arial" w:eastAsiaTheme="minorEastAsia" w:hAnsi="Arial" w:cs="Arial"/>
          <w:sz w:val="24"/>
          <w:szCs w:val="24"/>
        </w:rPr>
      </w:pPr>
      <w:r w:rsidRPr="00741E9B">
        <w:rPr>
          <w:rFonts w:ascii="Arial" w:eastAsiaTheme="minorEastAsia" w:hAnsi="Arial" w:cs="Arial"/>
          <w:sz w:val="24"/>
          <w:szCs w:val="24"/>
        </w:rPr>
        <w:t>The patient has consented to</w:t>
      </w:r>
      <w:r w:rsidR="005B4D00" w:rsidRPr="00741E9B">
        <w:rPr>
          <w:rFonts w:ascii="Arial" w:eastAsiaTheme="minorEastAsia" w:hAnsi="Arial" w:cs="Arial"/>
          <w:sz w:val="24"/>
          <w:szCs w:val="24"/>
        </w:rPr>
        <w:t>:</w:t>
      </w:r>
    </w:p>
    <w:p w14:paraId="43F7607C" w14:textId="092084FB" w:rsidR="005B4D00" w:rsidRPr="00741E9B" w:rsidRDefault="00CF5708" w:rsidP="521D8F92">
      <w:pPr>
        <w:pStyle w:val="ListParagraph"/>
        <w:spacing w:after="0"/>
        <w:ind w:left="0"/>
        <w:rPr>
          <w:rFonts w:ascii="Arial" w:eastAsiaTheme="minorEastAsia" w:hAnsi="Arial" w:cs="Arial"/>
          <w:sz w:val="24"/>
          <w:szCs w:val="24"/>
        </w:rPr>
      </w:pPr>
      <w:r w:rsidRPr="00741E9B">
        <w:rPr>
          <w:rFonts w:ascii="Arial" w:eastAsiaTheme="minorEastAsia" w:hAnsi="Arial" w:cs="Arial"/>
          <w:sz w:val="24"/>
          <w:szCs w:val="24"/>
        </w:rPr>
        <w:t>a)</w:t>
      </w:r>
      <w:r w:rsidR="005B4D00" w:rsidRPr="00741E9B">
        <w:rPr>
          <w:rFonts w:ascii="Arial" w:eastAsiaTheme="minorEastAsia" w:hAnsi="Arial" w:cs="Arial"/>
          <w:sz w:val="24"/>
          <w:szCs w:val="24"/>
        </w:rPr>
        <w:t xml:space="preserve"> </w:t>
      </w:r>
      <w:r w:rsidR="00DF61F9" w:rsidRPr="00741E9B">
        <w:rPr>
          <w:rFonts w:ascii="Arial" w:eastAsiaTheme="minorEastAsia" w:hAnsi="Arial" w:cs="Arial"/>
          <w:sz w:val="24"/>
          <w:szCs w:val="24"/>
        </w:rPr>
        <w:t xml:space="preserve"> </w:t>
      </w:r>
      <w:r w:rsidR="005B4D00" w:rsidRPr="00741E9B">
        <w:rPr>
          <w:rFonts w:ascii="Arial" w:eastAsiaTheme="minorEastAsia" w:hAnsi="Arial" w:cs="Arial"/>
          <w:sz w:val="24"/>
          <w:szCs w:val="24"/>
        </w:rPr>
        <w:t>T</w:t>
      </w:r>
      <w:r w:rsidR="004700FE" w:rsidRPr="00741E9B">
        <w:rPr>
          <w:rFonts w:ascii="Arial" w:eastAsiaTheme="minorEastAsia" w:hAnsi="Arial" w:cs="Arial"/>
          <w:sz w:val="24"/>
          <w:szCs w:val="24"/>
        </w:rPr>
        <w:t xml:space="preserve">he referral </w:t>
      </w:r>
    </w:p>
    <w:p w14:paraId="188CB573" w14:textId="4E8C3F6A" w:rsidR="005B4D00" w:rsidRPr="00741E9B" w:rsidRDefault="00CF5708" w:rsidP="521D8F92">
      <w:pPr>
        <w:pStyle w:val="ListParagraph"/>
        <w:spacing w:after="0"/>
        <w:ind w:left="0"/>
        <w:rPr>
          <w:rFonts w:ascii="Arial" w:eastAsiaTheme="minorEastAsia" w:hAnsi="Arial" w:cs="Arial"/>
          <w:sz w:val="24"/>
          <w:szCs w:val="24"/>
        </w:rPr>
      </w:pPr>
      <w:r w:rsidRPr="00741E9B">
        <w:rPr>
          <w:rFonts w:ascii="Arial" w:eastAsiaTheme="minorEastAsia" w:hAnsi="Arial" w:cs="Arial"/>
          <w:sz w:val="24"/>
          <w:szCs w:val="24"/>
        </w:rPr>
        <w:t xml:space="preserve">b) </w:t>
      </w:r>
      <w:r w:rsidR="00DF61F9" w:rsidRPr="00741E9B">
        <w:rPr>
          <w:rFonts w:ascii="Arial" w:eastAsiaTheme="minorEastAsia" w:hAnsi="Arial" w:cs="Arial"/>
          <w:sz w:val="24"/>
          <w:szCs w:val="24"/>
        </w:rPr>
        <w:t xml:space="preserve"> </w:t>
      </w:r>
      <w:r w:rsidRPr="00741E9B">
        <w:rPr>
          <w:rFonts w:ascii="Arial" w:eastAsiaTheme="minorEastAsia" w:hAnsi="Arial" w:cs="Arial"/>
          <w:sz w:val="24"/>
          <w:szCs w:val="24"/>
        </w:rPr>
        <w:t>S</w:t>
      </w:r>
      <w:r w:rsidR="004700FE" w:rsidRPr="00741E9B">
        <w:rPr>
          <w:rFonts w:ascii="Arial" w:eastAsiaTheme="minorEastAsia" w:hAnsi="Arial" w:cs="Arial"/>
          <w:sz w:val="24"/>
          <w:szCs w:val="24"/>
        </w:rPr>
        <w:t>har</w:t>
      </w:r>
      <w:r w:rsidR="00E52E2B" w:rsidRPr="00741E9B">
        <w:rPr>
          <w:rFonts w:ascii="Arial" w:eastAsiaTheme="minorEastAsia" w:hAnsi="Arial" w:cs="Arial"/>
          <w:sz w:val="24"/>
          <w:szCs w:val="24"/>
        </w:rPr>
        <w:t>ing</w:t>
      </w:r>
      <w:r w:rsidR="004700FE" w:rsidRPr="00741E9B">
        <w:rPr>
          <w:rFonts w:ascii="Arial" w:eastAsiaTheme="minorEastAsia" w:hAnsi="Arial" w:cs="Arial"/>
          <w:sz w:val="24"/>
          <w:szCs w:val="24"/>
        </w:rPr>
        <w:t xml:space="preserve"> </w:t>
      </w:r>
      <w:r w:rsidR="000E0DDD" w:rsidRPr="00741E9B">
        <w:rPr>
          <w:rFonts w:ascii="Arial" w:eastAsiaTheme="minorEastAsia" w:hAnsi="Arial" w:cs="Arial"/>
          <w:sz w:val="24"/>
          <w:szCs w:val="24"/>
        </w:rPr>
        <w:t>clinical records/information</w:t>
      </w:r>
      <w:r w:rsidR="004700FE" w:rsidRPr="00741E9B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1245816C" w14:textId="1C658335" w:rsidR="000E0DDD" w:rsidRPr="00741E9B" w:rsidRDefault="00DF61F9" w:rsidP="521D8F92">
      <w:pPr>
        <w:pStyle w:val="ListParagraph"/>
        <w:spacing w:after="0"/>
        <w:ind w:left="0"/>
        <w:rPr>
          <w:rFonts w:ascii="Arial" w:eastAsiaTheme="minorEastAsia" w:hAnsi="Arial" w:cs="Arial"/>
          <w:sz w:val="24"/>
          <w:szCs w:val="24"/>
        </w:rPr>
      </w:pPr>
      <w:r w:rsidRPr="00741E9B">
        <w:rPr>
          <w:rFonts w:ascii="Arial" w:eastAsiaTheme="minorEastAsia" w:hAnsi="Arial" w:cs="Arial"/>
          <w:sz w:val="24"/>
          <w:szCs w:val="24"/>
        </w:rPr>
        <w:t xml:space="preserve">NB </w:t>
      </w:r>
      <w:r w:rsidR="005B4D00" w:rsidRPr="00741E9B">
        <w:rPr>
          <w:rFonts w:ascii="Arial" w:eastAsiaTheme="minorEastAsia" w:hAnsi="Arial" w:cs="Arial"/>
          <w:sz w:val="24"/>
          <w:szCs w:val="24"/>
        </w:rPr>
        <w:t>If the patient does not have capacity to consent then the referral must indicate that a decision has been made in the patients</w:t>
      </w:r>
      <w:r w:rsidR="00CA1F38" w:rsidRPr="00741E9B">
        <w:rPr>
          <w:rFonts w:ascii="Arial" w:eastAsiaTheme="minorEastAsia" w:hAnsi="Arial" w:cs="Arial"/>
          <w:sz w:val="24"/>
          <w:szCs w:val="24"/>
        </w:rPr>
        <w:t>’</w:t>
      </w:r>
      <w:r w:rsidR="005B4D00" w:rsidRPr="00741E9B">
        <w:rPr>
          <w:rFonts w:ascii="Arial" w:eastAsiaTheme="minorEastAsia" w:hAnsi="Arial" w:cs="Arial"/>
          <w:sz w:val="24"/>
          <w:szCs w:val="24"/>
        </w:rPr>
        <w:t xml:space="preserve"> best interest according to the Mental Capacity Act</w:t>
      </w:r>
      <w:r w:rsidR="66B196DA" w:rsidRPr="00741E9B">
        <w:rPr>
          <w:rFonts w:ascii="Arial" w:eastAsiaTheme="minorEastAsia" w:hAnsi="Arial" w:cs="Arial"/>
          <w:sz w:val="24"/>
          <w:szCs w:val="24"/>
        </w:rPr>
        <w:t>. Please indicate who is acting as the patients advocate/main carer.</w:t>
      </w:r>
    </w:p>
    <w:p w14:paraId="1FDB72B3" w14:textId="21468687" w:rsidR="521D8F92" w:rsidRPr="00741E9B" w:rsidRDefault="521D8F92" w:rsidP="521D8F92">
      <w:pPr>
        <w:pStyle w:val="ListParagraph"/>
        <w:spacing w:after="0"/>
        <w:ind w:left="0"/>
        <w:rPr>
          <w:rFonts w:ascii="Arial" w:eastAsiaTheme="minorEastAsia" w:hAnsi="Arial" w:cs="Arial"/>
          <w:sz w:val="24"/>
          <w:szCs w:val="24"/>
        </w:rPr>
      </w:pPr>
    </w:p>
    <w:p w14:paraId="09A5B323" w14:textId="295CC691" w:rsidR="008A4965" w:rsidRPr="00741E9B" w:rsidRDefault="006715A8" w:rsidP="521D8F92">
      <w:pPr>
        <w:pStyle w:val="ListParagraph"/>
        <w:numPr>
          <w:ilvl w:val="0"/>
          <w:numId w:val="1"/>
        </w:numPr>
        <w:spacing w:after="0"/>
        <w:ind w:left="0"/>
        <w:rPr>
          <w:rFonts w:ascii="Arial" w:eastAsiaTheme="minorEastAsia" w:hAnsi="Arial" w:cs="Arial"/>
          <w:sz w:val="24"/>
          <w:szCs w:val="24"/>
        </w:rPr>
      </w:pPr>
      <w:r w:rsidRPr="00741E9B">
        <w:rPr>
          <w:rFonts w:ascii="Arial" w:eastAsiaTheme="minorEastAsia" w:hAnsi="Arial" w:cs="Arial"/>
          <w:sz w:val="24"/>
          <w:szCs w:val="24"/>
        </w:rPr>
        <w:t>External r</w:t>
      </w:r>
      <w:r w:rsidR="00F94732" w:rsidRPr="00741E9B">
        <w:rPr>
          <w:rFonts w:ascii="Arial" w:eastAsiaTheme="minorEastAsia" w:hAnsi="Arial" w:cs="Arial"/>
          <w:sz w:val="24"/>
          <w:szCs w:val="24"/>
        </w:rPr>
        <w:t>eferrals will only be accepted from Healthcare professionals</w:t>
      </w:r>
      <w:r w:rsidR="00A66914" w:rsidRPr="00741E9B">
        <w:rPr>
          <w:rFonts w:ascii="Arial" w:eastAsiaTheme="minorEastAsia" w:hAnsi="Arial" w:cs="Arial"/>
          <w:sz w:val="24"/>
          <w:szCs w:val="24"/>
        </w:rPr>
        <w:t>.</w:t>
      </w:r>
    </w:p>
    <w:p w14:paraId="17DCFD1F" w14:textId="77777777" w:rsidR="00E52E2B" w:rsidRPr="00741E9B" w:rsidRDefault="00E52E2B" w:rsidP="521D8F92">
      <w:pPr>
        <w:pStyle w:val="ListParagraph"/>
        <w:spacing w:after="0"/>
        <w:ind w:left="0"/>
        <w:rPr>
          <w:rFonts w:ascii="Arial" w:eastAsiaTheme="minorEastAsia" w:hAnsi="Arial" w:cs="Arial"/>
          <w:sz w:val="24"/>
          <w:szCs w:val="24"/>
        </w:rPr>
      </w:pPr>
    </w:p>
    <w:p w14:paraId="02E25277" w14:textId="6B9D58C1" w:rsidR="00624F38" w:rsidRDefault="00D8096C" w:rsidP="00624F38">
      <w:pPr>
        <w:pStyle w:val="ListParagraph"/>
        <w:numPr>
          <w:ilvl w:val="0"/>
          <w:numId w:val="1"/>
        </w:numPr>
        <w:spacing w:after="0"/>
        <w:ind w:left="0"/>
        <w:rPr>
          <w:rFonts w:ascii="Arial" w:eastAsiaTheme="minorEastAsia" w:hAnsi="Arial" w:cs="Arial"/>
          <w:sz w:val="24"/>
          <w:szCs w:val="24"/>
        </w:rPr>
      </w:pPr>
      <w:r w:rsidRPr="00624F38">
        <w:rPr>
          <w:rFonts w:ascii="Arial" w:eastAsiaTheme="minorEastAsia" w:hAnsi="Arial" w:cs="Arial"/>
          <w:sz w:val="24"/>
          <w:szCs w:val="24"/>
        </w:rPr>
        <w:t xml:space="preserve">The urgency of </w:t>
      </w:r>
      <w:r w:rsidR="00E52E2B" w:rsidRPr="00624F38">
        <w:rPr>
          <w:rFonts w:ascii="Arial" w:eastAsiaTheme="minorEastAsia" w:hAnsi="Arial" w:cs="Arial"/>
          <w:sz w:val="24"/>
          <w:szCs w:val="24"/>
        </w:rPr>
        <w:t xml:space="preserve">triage and response </w:t>
      </w:r>
      <w:r w:rsidRPr="00624F38">
        <w:rPr>
          <w:rFonts w:ascii="Arial" w:eastAsiaTheme="minorEastAsia" w:hAnsi="Arial" w:cs="Arial"/>
          <w:sz w:val="24"/>
          <w:szCs w:val="24"/>
        </w:rPr>
        <w:t>will be decided by Community Palliative Care Services based on the information provided</w:t>
      </w:r>
      <w:r w:rsidR="00E52E2B" w:rsidRPr="00624F38">
        <w:rPr>
          <w:rFonts w:ascii="Arial" w:eastAsiaTheme="minorEastAsia" w:hAnsi="Arial" w:cs="Arial"/>
          <w:sz w:val="24"/>
          <w:szCs w:val="24"/>
        </w:rPr>
        <w:t xml:space="preserve">. </w:t>
      </w:r>
      <w:r w:rsidR="008A4965" w:rsidRPr="00624F38">
        <w:rPr>
          <w:rFonts w:ascii="Arial" w:eastAsiaTheme="minorEastAsia" w:hAnsi="Arial" w:cs="Arial"/>
          <w:sz w:val="24"/>
          <w:szCs w:val="24"/>
        </w:rPr>
        <w:t xml:space="preserve">The referrer is required to complete the referral form fully. </w:t>
      </w:r>
      <w:r w:rsidR="00624F38" w:rsidRPr="00F75489">
        <w:rPr>
          <w:rFonts w:ascii="Arial" w:eastAsiaTheme="minorEastAsia" w:hAnsi="Arial" w:cs="Arial"/>
          <w:sz w:val="24"/>
          <w:szCs w:val="24"/>
        </w:rPr>
        <w:t>Any missing information on the referral form may lead to the referral being declined and delays in patient care.</w:t>
      </w:r>
    </w:p>
    <w:p w14:paraId="14EA987F" w14:textId="77777777" w:rsidR="00C2159D" w:rsidRPr="00C2159D" w:rsidRDefault="00C2159D" w:rsidP="00C2159D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14:paraId="0E62D496" w14:textId="77777777" w:rsidR="00C2159D" w:rsidRDefault="00C2159D" w:rsidP="00C2159D">
      <w:pPr>
        <w:pStyle w:val="ListParagraph"/>
        <w:spacing w:after="0"/>
        <w:ind w:left="0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2521"/>
        <w:gridCol w:w="2165"/>
        <w:gridCol w:w="2165"/>
      </w:tblGrid>
      <w:tr w:rsidR="00483568" w14:paraId="320D53EF" w14:textId="77777777" w:rsidTr="00FC0473">
        <w:trPr>
          <w:trHeight w:val="562"/>
        </w:trPr>
        <w:tc>
          <w:tcPr>
            <w:tcW w:w="2165" w:type="dxa"/>
            <w:vMerge w:val="restart"/>
          </w:tcPr>
          <w:p w14:paraId="669E9EBC" w14:textId="40090F70" w:rsidR="00483568" w:rsidRDefault="00483568" w:rsidP="0041529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Response 7 days 9-5</w:t>
            </w:r>
          </w:p>
        </w:tc>
        <w:tc>
          <w:tcPr>
            <w:tcW w:w="2521" w:type="dxa"/>
            <w:shd w:val="clear" w:color="auto" w:fill="FF0000"/>
          </w:tcPr>
          <w:p w14:paraId="6E3C6D7B" w14:textId="3BAB7F03" w:rsidR="00483568" w:rsidRDefault="00483568" w:rsidP="0041529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Unstable</w:t>
            </w:r>
          </w:p>
        </w:tc>
        <w:tc>
          <w:tcPr>
            <w:tcW w:w="2165" w:type="dxa"/>
            <w:shd w:val="clear" w:color="auto" w:fill="FFC000"/>
          </w:tcPr>
          <w:p w14:paraId="1F410A10" w14:textId="7D705FA7" w:rsidR="00483568" w:rsidRPr="000B7C53" w:rsidRDefault="00483568" w:rsidP="0041529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Deteriorating</w:t>
            </w:r>
          </w:p>
        </w:tc>
        <w:tc>
          <w:tcPr>
            <w:tcW w:w="2165" w:type="dxa"/>
            <w:shd w:val="clear" w:color="auto" w:fill="00B050"/>
          </w:tcPr>
          <w:p w14:paraId="1D2BBD64" w14:textId="484D2209" w:rsidR="00483568" w:rsidRDefault="00483568" w:rsidP="0041529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Stable</w:t>
            </w:r>
          </w:p>
        </w:tc>
      </w:tr>
      <w:tr w:rsidR="00483568" w14:paraId="0A8509F7" w14:textId="77777777" w:rsidTr="00FC0473">
        <w:trPr>
          <w:trHeight w:val="562"/>
        </w:trPr>
        <w:tc>
          <w:tcPr>
            <w:tcW w:w="2165" w:type="dxa"/>
            <w:vMerge/>
          </w:tcPr>
          <w:p w14:paraId="6FDD285F" w14:textId="13A34A09" w:rsidR="00483568" w:rsidRDefault="00483568" w:rsidP="0041529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FF0000"/>
          </w:tcPr>
          <w:p w14:paraId="1262AB2B" w14:textId="77777777" w:rsidR="00483568" w:rsidRDefault="00483568" w:rsidP="0041529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High Complexity</w:t>
            </w:r>
          </w:p>
        </w:tc>
        <w:tc>
          <w:tcPr>
            <w:tcW w:w="2165" w:type="dxa"/>
            <w:shd w:val="clear" w:color="auto" w:fill="FFC000"/>
          </w:tcPr>
          <w:p w14:paraId="6E4D3E66" w14:textId="77777777" w:rsidR="00483568" w:rsidRPr="000B7C53" w:rsidRDefault="00483568" w:rsidP="0041529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B7C53">
              <w:rPr>
                <w:rFonts w:ascii="Arial" w:eastAsiaTheme="minorEastAsia" w:hAnsi="Arial" w:cs="Arial"/>
                <w:sz w:val="24"/>
                <w:szCs w:val="24"/>
              </w:rPr>
              <w:t>Medium Complexity</w:t>
            </w:r>
          </w:p>
        </w:tc>
        <w:tc>
          <w:tcPr>
            <w:tcW w:w="2165" w:type="dxa"/>
            <w:shd w:val="clear" w:color="auto" w:fill="00B050"/>
          </w:tcPr>
          <w:p w14:paraId="245FCE96" w14:textId="77777777" w:rsidR="00483568" w:rsidRDefault="00483568" w:rsidP="0041529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Low complexity</w:t>
            </w:r>
          </w:p>
        </w:tc>
      </w:tr>
      <w:tr w:rsidR="00483568" w14:paraId="13EFAA1E" w14:textId="77777777" w:rsidTr="00FC0473">
        <w:tc>
          <w:tcPr>
            <w:tcW w:w="2165" w:type="dxa"/>
            <w:vMerge/>
          </w:tcPr>
          <w:p w14:paraId="2CDC086C" w14:textId="77777777" w:rsidR="00483568" w:rsidRDefault="00483568" w:rsidP="0041529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FF0000"/>
          </w:tcPr>
          <w:p w14:paraId="103BD9D9" w14:textId="229D2F4F" w:rsidR="00483568" w:rsidRDefault="00483568" w:rsidP="0041529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0-2 days </w:t>
            </w:r>
          </w:p>
        </w:tc>
        <w:tc>
          <w:tcPr>
            <w:tcW w:w="2165" w:type="dxa"/>
            <w:shd w:val="clear" w:color="auto" w:fill="FFC000"/>
          </w:tcPr>
          <w:p w14:paraId="63211FAA" w14:textId="77777777" w:rsidR="00483568" w:rsidRPr="000B7C53" w:rsidRDefault="00483568" w:rsidP="0041529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B7C53">
              <w:rPr>
                <w:rFonts w:ascii="Arial" w:eastAsiaTheme="minorEastAsia" w:hAnsi="Arial" w:cs="Arial"/>
                <w:sz w:val="24"/>
                <w:szCs w:val="24"/>
              </w:rPr>
              <w:t>3-10 days</w:t>
            </w:r>
          </w:p>
        </w:tc>
        <w:tc>
          <w:tcPr>
            <w:tcW w:w="2165" w:type="dxa"/>
            <w:shd w:val="clear" w:color="auto" w:fill="00B050"/>
          </w:tcPr>
          <w:p w14:paraId="08C8A1B1" w14:textId="77777777" w:rsidR="00483568" w:rsidRDefault="00483568" w:rsidP="00415298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10-21 days</w:t>
            </w:r>
          </w:p>
        </w:tc>
      </w:tr>
    </w:tbl>
    <w:p w14:paraId="059C2D5E" w14:textId="3F823E2D" w:rsidR="00A15074" w:rsidRPr="00624F38" w:rsidRDefault="00A15074" w:rsidP="00624F38">
      <w:pPr>
        <w:pStyle w:val="ListParagraph"/>
        <w:spacing w:after="0"/>
        <w:ind w:left="0"/>
        <w:rPr>
          <w:rFonts w:ascii="Arial" w:eastAsiaTheme="minorEastAsia" w:hAnsi="Arial" w:cs="Arial"/>
          <w:sz w:val="24"/>
          <w:szCs w:val="24"/>
        </w:rPr>
      </w:pPr>
    </w:p>
    <w:p w14:paraId="648875D5" w14:textId="03755308" w:rsidR="00F735C9" w:rsidRPr="00741E9B" w:rsidRDefault="009619C5" w:rsidP="521D8F92">
      <w:pPr>
        <w:pStyle w:val="ListParagraph"/>
        <w:numPr>
          <w:ilvl w:val="0"/>
          <w:numId w:val="1"/>
        </w:numPr>
        <w:spacing w:after="0"/>
        <w:ind w:left="0"/>
        <w:rPr>
          <w:rFonts w:ascii="Arial" w:eastAsiaTheme="minorEastAsia" w:hAnsi="Arial" w:cs="Arial"/>
          <w:sz w:val="24"/>
          <w:szCs w:val="24"/>
        </w:rPr>
      </w:pPr>
      <w:r w:rsidRPr="00741E9B">
        <w:rPr>
          <w:rFonts w:ascii="Arial" w:eastAsiaTheme="minorEastAsia" w:hAnsi="Arial" w:cs="Arial"/>
          <w:sz w:val="24"/>
          <w:szCs w:val="24"/>
        </w:rPr>
        <w:t xml:space="preserve">Referrals will be accepted </w:t>
      </w:r>
      <w:r w:rsidR="000A1439" w:rsidRPr="00741E9B">
        <w:rPr>
          <w:rFonts w:ascii="Arial" w:eastAsiaTheme="minorEastAsia" w:hAnsi="Arial" w:cs="Arial"/>
          <w:sz w:val="24"/>
          <w:szCs w:val="24"/>
        </w:rPr>
        <w:t xml:space="preserve">to the </w:t>
      </w:r>
      <w:r w:rsidR="000A1439" w:rsidRPr="00741E9B">
        <w:rPr>
          <w:rFonts w:ascii="Arial" w:eastAsiaTheme="minorEastAsia" w:hAnsi="Arial" w:cs="Arial"/>
          <w:b/>
          <w:bCs/>
          <w:sz w:val="24"/>
          <w:szCs w:val="24"/>
        </w:rPr>
        <w:t>Palliative Care Specialist Nurs</w:t>
      </w:r>
      <w:r w:rsidR="00FB1BF4">
        <w:rPr>
          <w:rFonts w:ascii="Arial" w:eastAsiaTheme="minorEastAsia" w:hAnsi="Arial" w:cs="Arial"/>
          <w:b/>
          <w:bCs/>
          <w:sz w:val="24"/>
          <w:szCs w:val="24"/>
        </w:rPr>
        <w:t>e</w:t>
      </w:r>
      <w:r w:rsidR="001A577B" w:rsidRPr="00741E9B">
        <w:rPr>
          <w:rFonts w:ascii="Arial" w:eastAsiaTheme="minorEastAsia" w:hAnsi="Arial" w:cs="Arial"/>
          <w:b/>
          <w:bCs/>
          <w:sz w:val="24"/>
          <w:szCs w:val="24"/>
        </w:rPr>
        <w:t xml:space="preserve"> Team</w:t>
      </w:r>
      <w:r w:rsidR="000A1439" w:rsidRPr="00741E9B">
        <w:rPr>
          <w:rFonts w:ascii="Arial" w:eastAsiaTheme="minorEastAsia" w:hAnsi="Arial" w:cs="Arial"/>
          <w:sz w:val="24"/>
          <w:szCs w:val="24"/>
        </w:rPr>
        <w:t xml:space="preserve"> </w:t>
      </w:r>
      <w:r w:rsidRPr="00741E9B">
        <w:rPr>
          <w:rFonts w:ascii="Arial" w:eastAsiaTheme="minorEastAsia" w:hAnsi="Arial" w:cs="Arial"/>
          <w:sz w:val="24"/>
          <w:szCs w:val="24"/>
        </w:rPr>
        <w:t>for the following</w:t>
      </w:r>
      <w:r w:rsidR="00F735C9" w:rsidRPr="00741E9B">
        <w:rPr>
          <w:rFonts w:ascii="Arial" w:eastAsiaTheme="minorEastAsia" w:hAnsi="Arial" w:cs="Arial"/>
          <w:sz w:val="24"/>
          <w:szCs w:val="24"/>
        </w:rPr>
        <w:t>:</w:t>
      </w:r>
    </w:p>
    <w:p w14:paraId="58E48FD7" w14:textId="77777777" w:rsidR="00E80EB7" w:rsidRPr="00741E9B" w:rsidRDefault="00E80EB7" w:rsidP="521D8F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EastAsia" w:hAnsi="Arial" w:cs="Arial"/>
          <w:b/>
          <w:bCs/>
        </w:rPr>
      </w:pPr>
    </w:p>
    <w:p w14:paraId="07813714" w14:textId="46FF03CB" w:rsidR="00F735C9" w:rsidRPr="00741E9B" w:rsidRDefault="00FB1BF4" w:rsidP="009B1C5B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</w:rPr>
      </w:pPr>
      <w:r>
        <w:rPr>
          <w:rStyle w:val="normaltextrun"/>
          <w:rFonts w:ascii="Arial" w:eastAsiaTheme="minorEastAsia" w:hAnsi="Arial" w:cs="Arial"/>
          <w:b/>
          <w:bCs/>
        </w:rPr>
        <w:t>Complex s</w:t>
      </w:r>
      <w:r w:rsidR="00F735C9" w:rsidRPr="00741E9B">
        <w:rPr>
          <w:rStyle w:val="normaltextrun"/>
          <w:rFonts w:ascii="Arial" w:eastAsiaTheme="minorEastAsia" w:hAnsi="Arial" w:cs="Arial"/>
          <w:b/>
          <w:bCs/>
        </w:rPr>
        <w:t>ymptoms</w:t>
      </w:r>
      <w:r>
        <w:rPr>
          <w:rStyle w:val="eop"/>
          <w:rFonts w:ascii="Arial" w:eastAsiaTheme="minorEastAsia" w:hAnsi="Arial" w:cs="Arial"/>
        </w:rPr>
        <w:t>:</w:t>
      </w:r>
      <w:r>
        <w:rPr>
          <w:rStyle w:val="eop"/>
          <w:rFonts w:ascii="Arial" w:eastAsiaTheme="minorEastAsia" w:hAnsi="Arial" w:cs="Arial"/>
        </w:rPr>
        <w:br/>
      </w:r>
    </w:p>
    <w:p w14:paraId="40FB1E49" w14:textId="77777777" w:rsidR="009B1C5B" w:rsidRPr="00FB1BF4" w:rsidRDefault="009B1C5B" w:rsidP="00FB1BF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B1BF4">
        <w:rPr>
          <w:rFonts w:ascii="Arial" w:hAnsi="Arial" w:cs="Arial"/>
          <w:sz w:val="24"/>
          <w:szCs w:val="24"/>
        </w:rPr>
        <w:t>Complex symptoms not</w:t>
      </w:r>
      <w:bookmarkStart w:id="0" w:name="_GoBack"/>
      <w:bookmarkEnd w:id="0"/>
      <w:r w:rsidRPr="00FB1BF4">
        <w:rPr>
          <w:rFonts w:ascii="Arial" w:hAnsi="Arial" w:cs="Arial"/>
          <w:sz w:val="24"/>
          <w:szCs w:val="24"/>
        </w:rPr>
        <w:t xml:space="preserve"> responsive to first line treatment</w:t>
      </w:r>
    </w:p>
    <w:p w14:paraId="7CC5A8CA" w14:textId="77777777" w:rsidR="009B1C5B" w:rsidRPr="00FB1BF4" w:rsidRDefault="009B1C5B" w:rsidP="00FB1BF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B1BF4">
        <w:rPr>
          <w:rFonts w:ascii="Arial" w:hAnsi="Arial" w:cs="Arial"/>
          <w:sz w:val="24"/>
          <w:szCs w:val="24"/>
        </w:rPr>
        <w:t xml:space="preserve">Complex opioid and adjuvant regimes </w:t>
      </w:r>
    </w:p>
    <w:p w14:paraId="6BF2B0C2" w14:textId="31FFBF6E" w:rsidR="001E2CF1" w:rsidRPr="00741E9B" w:rsidRDefault="009B1C5B" w:rsidP="00FB1BF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741E9B">
        <w:rPr>
          <w:rFonts w:ascii="Arial" w:eastAsia="Arial" w:hAnsi="Arial" w:cs="Arial"/>
        </w:rPr>
        <w:t>Titration of medication in context of complex co-morbidities</w:t>
      </w:r>
    </w:p>
    <w:p w14:paraId="3B5FB4D4" w14:textId="77777777" w:rsidR="009B1C5B" w:rsidRPr="00741E9B" w:rsidRDefault="009B1C5B" w:rsidP="009B1C5B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</w:rPr>
      </w:pPr>
    </w:p>
    <w:p w14:paraId="767309DC" w14:textId="23E076D1" w:rsidR="001E2CF1" w:rsidRPr="00741E9B" w:rsidRDefault="7552D925" w:rsidP="521D8F92">
      <w:pPr>
        <w:spacing w:after="0"/>
        <w:textAlignment w:val="baseline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  <w:r w:rsidRPr="00741E9B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lastRenderedPageBreak/>
        <w:t xml:space="preserve">Complex Palliative Care Emergencies - where </w:t>
      </w:r>
      <w:r w:rsidR="707AD82E" w:rsidRPr="00741E9B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 xml:space="preserve">the </w:t>
      </w:r>
      <w:r w:rsidRPr="00741E9B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 xml:space="preserve">focus of care is EOL and the </w:t>
      </w:r>
      <w:r w:rsidR="001219B7" w:rsidRPr="00741E9B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 xml:space="preserve">treatment </w:t>
      </w:r>
      <w:r w:rsidRPr="00741E9B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plan is not for escalation but to manage at home</w:t>
      </w:r>
      <w:r w:rsidR="00FB1BF4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:</w:t>
      </w:r>
      <w:r w:rsidR="00FB1BF4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br/>
      </w:r>
    </w:p>
    <w:p w14:paraId="5B1330E5" w14:textId="49FC38C3" w:rsidR="001E2CF1" w:rsidRPr="00FB1BF4" w:rsidRDefault="7552D925" w:rsidP="00FB1BF4">
      <w:pPr>
        <w:pStyle w:val="ListParagraph"/>
        <w:numPr>
          <w:ilvl w:val="0"/>
          <w:numId w:val="4"/>
        </w:numPr>
        <w:spacing w:after="0"/>
        <w:textAlignment w:val="baseline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FB1BF4">
        <w:rPr>
          <w:rFonts w:ascii="Arial" w:eastAsiaTheme="minorEastAsia" w:hAnsi="Arial" w:cs="Arial"/>
          <w:color w:val="000000" w:themeColor="text1"/>
          <w:sz w:val="24"/>
          <w:szCs w:val="24"/>
        </w:rPr>
        <w:t>Acutely deteriorating patients</w:t>
      </w:r>
    </w:p>
    <w:p w14:paraId="71A35614" w14:textId="77777777" w:rsidR="000F7DE2" w:rsidRPr="00FB1BF4" w:rsidRDefault="000F7DE2" w:rsidP="00FB1BF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B1BF4">
        <w:rPr>
          <w:rFonts w:ascii="Arial" w:hAnsi="Arial" w:cs="Arial"/>
          <w:sz w:val="24"/>
          <w:szCs w:val="24"/>
        </w:rPr>
        <w:t>Complex ethical decision making around such issues as sedation and assisted hydration and nutrition</w:t>
      </w:r>
    </w:p>
    <w:p w14:paraId="222A4227" w14:textId="77777777" w:rsidR="000F7DE2" w:rsidRPr="00FB1BF4" w:rsidRDefault="000F7DE2" w:rsidP="00FB1BF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B1BF4">
        <w:rPr>
          <w:rFonts w:ascii="Arial" w:hAnsi="Arial" w:cs="Arial"/>
          <w:sz w:val="24"/>
          <w:szCs w:val="24"/>
        </w:rPr>
        <w:t>Seizure management</w:t>
      </w:r>
    </w:p>
    <w:p w14:paraId="4A389E38" w14:textId="77777777" w:rsidR="000F7DE2" w:rsidRPr="00FB1BF4" w:rsidRDefault="000F7DE2" w:rsidP="00FB1BF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B1BF4">
        <w:rPr>
          <w:rFonts w:ascii="Arial" w:hAnsi="Arial" w:cs="Arial"/>
          <w:sz w:val="24"/>
          <w:szCs w:val="24"/>
        </w:rPr>
        <w:t>Bowel obstruction</w:t>
      </w:r>
    </w:p>
    <w:p w14:paraId="791AB231" w14:textId="77777777" w:rsidR="000F7DE2" w:rsidRPr="00FB1BF4" w:rsidRDefault="000F7DE2" w:rsidP="00FB1BF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B1BF4">
        <w:rPr>
          <w:rFonts w:ascii="Arial" w:hAnsi="Arial" w:cs="Arial"/>
          <w:sz w:val="24"/>
          <w:szCs w:val="24"/>
        </w:rPr>
        <w:t>Abdominal ascites</w:t>
      </w:r>
    </w:p>
    <w:p w14:paraId="1032F891" w14:textId="77777777" w:rsidR="000F7DE2" w:rsidRPr="00FB1BF4" w:rsidRDefault="000F7DE2" w:rsidP="00FB1BF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B1BF4">
        <w:rPr>
          <w:rFonts w:ascii="Arial" w:hAnsi="Arial" w:cs="Arial"/>
          <w:sz w:val="24"/>
          <w:szCs w:val="24"/>
        </w:rPr>
        <w:t xml:space="preserve">Sepsis </w:t>
      </w:r>
    </w:p>
    <w:p w14:paraId="0E768269" w14:textId="77777777" w:rsidR="000F7DE2" w:rsidRPr="00FB1BF4" w:rsidRDefault="000F7DE2" w:rsidP="00FB1BF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B1BF4">
        <w:rPr>
          <w:rFonts w:ascii="Arial" w:hAnsi="Arial" w:cs="Arial"/>
          <w:sz w:val="24"/>
          <w:szCs w:val="24"/>
        </w:rPr>
        <w:t>Spinal cord compression</w:t>
      </w:r>
    </w:p>
    <w:p w14:paraId="73759E4E" w14:textId="77777777" w:rsidR="000F7DE2" w:rsidRPr="00FB1BF4" w:rsidRDefault="000F7DE2" w:rsidP="00FB1BF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B1BF4">
        <w:rPr>
          <w:rFonts w:ascii="Arial" w:hAnsi="Arial" w:cs="Arial"/>
          <w:sz w:val="24"/>
          <w:szCs w:val="24"/>
        </w:rPr>
        <w:t>Airway obstruction</w:t>
      </w:r>
    </w:p>
    <w:p w14:paraId="0246FDF7" w14:textId="77777777" w:rsidR="000F7DE2" w:rsidRPr="00FB1BF4" w:rsidRDefault="000F7DE2" w:rsidP="00FB1BF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B1BF4">
        <w:rPr>
          <w:rFonts w:ascii="Arial" w:hAnsi="Arial" w:cs="Arial"/>
          <w:sz w:val="24"/>
          <w:szCs w:val="24"/>
        </w:rPr>
        <w:t>Acute kidney injury not for dialysis</w:t>
      </w:r>
    </w:p>
    <w:p w14:paraId="5675596C" w14:textId="26DCE7EB" w:rsidR="00CA06AC" w:rsidRPr="00FB1BF4" w:rsidRDefault="000F7DE2" w:rsidP="00FB1BF4">
      <w:pPr>
        <w:pStyle w:val="ListParagraph"/>
        <w:numPr>
          <w:ilvl w:val="0"/>
          <w:numId w:val="4"/>
        </w:numPr>
        <w:spacing w:after="0"/>
        <w:rPr>
          <w:rStyle w:val="eop"/>
          <w:rFonts w:ascii="Arial" w:hAnsi="Arial" w:cs="Arial"/>
          <w:sz w:val="24"/>
          <w:szCs w:val="24"/>
        </w:rPr>
      </w:pPr>
      <w:r w:rsidRPr="00FB1BF4">
        <w:rPr>
          <w:rFonts w:ascii="Arial" w:hAnsi="Arial" w:cs="Arial"/>
          <w:sz w:val="24"/>
          <w:szCs w:val="24"/>
        </w:rPr>
        <w:t>Complications of diabetes treatment at EOL</w:t>
      </w:r>
    </w:p>
    <w:p w14:paraId="3F523EFB" w14:textId="77777777" w:rsidR="001E2CF1" w:rsidRPr="00741E9B" w:rsidRDefault="001E2CF1" w:rsidP="521D8F9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inorEastAsia" w:hAnsi="Arial" w:cs="Arial"/>
        </w:rPr>
      </w:pPr>
    </w:p>
    <w:p w14:paraId="3F9154C8" w14:textId="2CC9DCC9" w:rsidR="00AF6A04" w:rsidRPr="00741E9B" w:rsidRDefault="00AF6A04" w:rsidP="00AF6A0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1E9B">
        <w:rPr>
          <w:rFonts w:ascii="Arial" w:hAnsi="Arial" w:cs="Arial"/>
          <w:b/>
          <w:bCs/>
          <w:sz w:val="24"/>
          <w:szCs w:val="24"/>
        </w:rPr>
        <w:t>Complex home situations and advance care planning</w:t>
      </w:r>
      <w:r w:rsidR="00FB1BF4">
        <w:rPr>
          <w:rFonts w:ascii="Arial" w:hAnsi="Arial" w:cs="Arial"/>
          <w:b/>
          <w:bCs/>
          <w:sz w:val="24"/>
          <w:szCs w:val="24"/>
        </w:rPr>
        <w:t>:</w:t>
      </w:r>
      <w:r w:rsidR="00FB1BF4">
        <w:rPr>
          <w:rFonts w:ascii="Arial" w:hAnsi="Arial" w:cs="Arial"/>
          <w:b/>
          <w:bCs/>
          <w:sz w:val="24"/>
          <w:szCs w:val="24"/>
        </w:rPr>
        <w:br/>
      </w:r>
    </w:p>
    <w:p w14:paraId="14721DA8" w14:textId="1C21E5C7" w:rsidR="00210B9F" w:rsidRPr="00741E9B" w:rsidRDefault="00210B9F" w:rsidP="00FB1BF4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eastAsiaTheme="minorEastAsia" w:hAnsi="Arial" w:cs="Arial"/>
        </w:rPr>
      </w:pPr>
      <w:r w:rsidRPr="00741E9B">
        <w:rPr>
          <w:rFonts w:ascii="Arial" w:hAnsi="Arial" w:cs="Arial"/>
        </w:rPr>
        <w:t xml:space="preserve">Complex </w:t>
      </w:r>
      <w:r w:rsidR="00817D5E">
        <w:rPr>
          <w:rFonts w:ascii="Arial" w:hAnsi="Arial" w:cs="Arial"/>
        </w:rPr>
        <w:t xml:space="preserve">care management and </w:t>
      </w:r>
      <w:r w:rsidRPr="00741E9B">
        <w:rPr>
          <w:rFonts w:ascii="Arial" w:hAnsi="Arial" w:cs="Arial"/>
        </w:rPr>
        <w:t>family needs requiring MDT approach</w:t>
      </w:r>
    </w:p>
    <w:p w14:paraId="78E87771" w14:textId="77777777" w:rsidR="00210B9F" w:rsidRPr="00FB1BF4" w:rsidRDefault="00210B9F" w:rsidP="00FB1BF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B1BF4">
        <w:rPr>
          <w:rFonts w:ascii="Arial" w:hAnsi="Arial" w:cs="Arial"/>
          <w:sz w:val="24"/>
          <w:szCs w:val="24"/>
        </w:rPr>
        <w:t>Complex social issues, including risk from family or friends</w:t>
      </w:r>
    </w:p>
    <w:p w14:paraId="3B5B4D9C" w14:textId="69A802CF" w:rsidR="00210B9F" w:rsidRPr="00FB1BF4" w:rsidRDefault="00210B9F" w:rsidP="00FB1BF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B1BF4">
        <w:rPr>
          <w:rFonts w:ascii="Arial" w:hAnsi="Arial" w:cs="Arial"/>
          <w:sz w:val="24"/>
          <w:szCs w:val="24"/>
        </w:rPr>
        <w:t xml:space="preserve">Complex </w:t>
      </w:r>
      <w:r w:rsidR="00CB271D" w:rsidRPr="00FB1BF4">
        <w:rPr>
          <w:rFonts w:ascii="Arial" w:hAnsi="Arial" w:cs="Arial"/>
          <w:sz w:val="24"/>
          <w:szCs w:val="24"/>
        </w:rPr>
        <w:t xml:space="preserve">palliative care needs impacting on </w:t>
      </w:r>
      <w:r w:rsidRPr="00FB1BF4">
        <w:rPr>
          <w:rFonts w:ascii="Arial" w:hAnsi="Arial" w:cs="Arial"/>
          <w:sz w:val="24"/>
          <w:szCs w:val="24"/>
        </w:rPr>
        <w:t xml:space="preserve">psycho-social </w:t>
      </w:r>
      <w:r w:rsidR="00CB271D" w:rsidRPr="00FB1BF4">
        <w:rPr>
          <w:rFonts w:ascii="Arial" w:hAnsi="Arial" w:cs="Arial"/>
          <w:sz w:val="24"/>
          <w:szCs w:val="24"/>
        </w:rPr>
        <w:t>wellbeing</w:t>
      </w:r>
      <w:r w:rsidR="00F5283F" w:rsidRPr="00FB1BF4">
        <w:rPr>
          <w:rFonts w:ascii="Arial" w:hAnsi="Arial" w:cs="Arial"/>
          <w:sz w:val="24"/>
          <w:szCs w:val="24"/>
        </w:rPr>
        <w:t xml:space="preserve"> </w:t>
      </w:r>
    </w:p>
    <w:p w14:paraId="38BD20DB" w14:textId="34459FBF" w:rsidR="00210B9F" w:rsidRPr="00FB1BF4" w:rsidRDefault="00210B9F" w:rsidP="00FB1BF4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B1BF4">
        <w:rPr>
          <w:rFonts w:ascii="Arial" w:eastAsia="Calibri" w:hAnsi="Arial" w:cs="Arial"/>
          <w:color w:val="000000" w:themeColor="text1"/>
          <w:sz w:val="24"/>
          <w:szCs w:val="24"/>
        </w:rPr>
        <w:t xml:space="preserve">Complex advance care planning such as ADRT, best interest, DOLs, and </w:t>
      </w:r>
      <w:proofErr w:type="spellStart"/>
      <w:r w:rsidRPr="00FB1BF4">
        <w:rPr>
          <w:rFonts w:ascii="Arial" w:eastAsia="Calibri" w:hAnsi="Arial" w:cs="Arial"/>
          <w:color w:val="000000" w:themeColor="text1"/>
          <w:sz w:val="24"/>
          <w:szCs w:val="24"/>
        </w:rPr>
        <w:t>ReSPECT</w:t>
      </w:r>
      <w:proofErr w:type="spellEnd"/>
      <w:r w:rsidRPr="00FB1BF4">
        <w:rPr>
          <w:rFonts w:ascii="Arial" w:eastAsia="Calibri" w:hAnsi="Arial" w:cs="Arial"/>
          <w:color w:val="000000" w:themeColor="text1"/>
          <w:sz w:val="24"/>
          <w:szCs w:val="24"/>
        </w:rPr>
        <w:t xml:space="preserve"> which </w:t>
      </w:r>
      <w:r w:rsidR="007B1B68" w:rsidRPr="00FB1BF4">
        <w:rPr>
          <w:rFonts w:ascii="Arial" w:eastAsia="Calibri" w:hAnsi="Arial" w:cs="Arial"/>
          <w:color w:val="000000" w:themeColor="text1"/>
          <w:sz w:val="24"/>
          <w:szCs w:val="24"/>
        </w:rPr>
        <w:t xml:space="preserve">require </w:t>
      </w:r>
      <w:r w:rsidR="00DE322C" w:rsidRPr="00FB1BF4">
        <w:rPr>
          <w:rFonts w:ascii="Arial" w:eastAsia="Calibri" w:hAnsi="Arial" w:cs="Arial"/>
          <w:color w:val="000000" w:themeColor="text1"/>
          <w:sz w:val="24"/>
          <w:szCs w:val="24"/>
        </w:rPr>
        <w:t>Palliative Care Specialist nurse input to facilitate ethical decision-making.</w:t>
      </w:r>
    </w:p>
    <w:p w14:paraId="28991973" w14:textId="073F5D6E" w:rsidR="00210B9F" w:rsidRDefault="00210B9F" w:rsidP="00210B9F">
      <w:pPr>
        <w:pStyle w:val="paragraph"/>
        <w:spacing w:before="0" w:beforeAutospacing="0"/>
        <w:textAlignment w:val="baseline"/>
        <w:rPr>
          <w:rFonts w:ascii="Arial" w:eastAsiaTheme="minorEastAsia" w:hAnsi="Arial" w:cs="Arial"/>
        </w:rPr>
      </w:pPr>
    </w:p>
    <w:p w14:paraId="5B7B004E" w14:textId="77777777" w:rsidR="00D712A5" w:rsidRPr="00741E9B" w:rsidRDefault="00D712A5" w:rsidP="00663240">
      <w:pPr>
        <w:spacing w:after="0"/>
        <w:rPr>
          <w:rFonts w:ascii="Arial" w:eastAsiaTheme="minorEastAsia" w:hAnsi="Arial" w:cs="Arial"/>
          <w:sz w:val="24"/>
          <w:szCs w:val="24"/>
        </w:rPr>
      </w:pPr>
    </w:p>
    <w:p w14:paraId="24C45630" w14:textId="77777777" w:rsidR="00D712A5" w:rsidRPr="00741E9B" w:rsidRDefault="00D712A5" w:rsidP="00D712A5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E53014B" w14:textId="31658BD7" w:rsidR="00D712A5" w:rsidRPr="00741E9B" w:rsidRDefault="00D712A5" w:rsidP="00D712A5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FB278AC" w14:textId="77777777" w:rsidR="00D712A5" w:rsidRPr="00741E9B" w:rsidRDefault="00D712A5" w:rsidP="00D712A5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2BBC799" w14:textId="58E524C7" w:rsidR="00D712A5" w:rsidRPr="00741E9B" w:rsidRDefault="00D712A5" w:rsidP="00D712A5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9C0CB38" w14:textId="1E3B5B12" w:rsidR="00D712A5" w:rsidRPr="00741E9B" w:rsidRDefault="00D712A5" w:rsidP="00663240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5168CD6" w14:textId="77777777" w:rsidR="00D712A5" w:rsidRPr="00741E9B" w:rsidRDefault="00D712A5" w:rsidP="00D712A5">
      <w:pPr>
        <w:pStyle w:val="ListParagraph"/>
        <w:spacing w:after="0"/>
        <w:ind w:left="0"/>
        <w:rPr>
          <w:rFonts w:ascii="Arial" w:eastAsiaTheme="minorEastAsia" w:hAnsi="Arial" w:cs="Arial"/>
          <w:sz w:val="24"/>
          <w:szCs w:val="24"/>
        </w:rPr>
      </w:pPr>
    </w:p>
    <w:p w14:paraId="76C74F9B" w14:textId="77777777" w:rsidR="00D8096C" w:rsidRPr="00741E9B" w:rsidRDefault="00D8096C" w:rsidP="521D8F92">
      <w:pPr>
        <w:spacing w:after="0"/>
        <w:rPr>
          <w:rFonts w:ascii="Arial" w:eastAsiaTheme="minorEastAsia" w:hAnsi="Arial" w:cs="Arial"/>
          <w:sz w:val="24"/>
          <w:szCs w:val="24"/>
        </w:rPr>
      </w:pPr>
    </w:p>
    <w:p w14:paraId="762682FB" w14:textId="77777777" w:rsidR="00D8096C" w:rsidRPr="00741E9B" w:rsidRDefault="00D8096C" w:rsidP="521D8F92">
      <w:pPr>
        <w:pStyle w:val="ListParagraph"/>
        <w:spacing w:after="0"/>
        <w:ind w:left="0"/>
        <w:rPr>
          <w:rFonts w:ascii="Arial" w:eastAsiaTheme="minorEastAsia" w:hAnsi="Arial" w:cs="Arial"/>
          <w:sz w:val="24"/>
          <w:szCs w:val="24"/>
        </w:rPr>
      </w:pPr>
    </w:p>
    <w:p w14:paraId="3F1EF72D" w14:textId="77777777" w:rsidR="007F77E6" w:rsidRPr="00741E9B" w:rsidRDefault="007F77E6" w:rsidP="521D8F92">
      <w:pPr>
        <w:pStyle w:val="ListParagraph"/>
        <w:spacing w:after="0"/>
        <w:ind w:left="0"/>
        <w:rPr>
          <w:rFonts w:ascii="Arial" w:eastAsiaTheme="minorEastAsia" w:hAnsi="Arial" w:cs="Arial"/>
          <w:sz w:val="24"/>
          <w:szCs w:val="24"/>
        </w:rPr>
      </w:pPr>
    </w:p>
    <w:sectPr w:rsidR="007F77E6" w:rsidRPr="00741E9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9E30F" w14:textId="77777777" w:rsidR="0091082D" w:rsidRDefault="0091082D" w:rsidP="00EE7B5E">
      <w:pPr>
        <w:spacing w:after="0" w:line="240" w:lineRule="auto"/>
      </w:pPr>
      <w:r>
        <w:separator/>
      </w:r>
    </w:p>
  </w:endnote>
  <w:endnote w:type="continuationSeparator" w:id="0">
    <w:p w14:paraId="7AB93132" w14:textId="77777777" w:rsidR="0091082D" w:rsidRDefault="0091082D" w:rsidP="00EE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75660" w14:textId="4A9FB0FB" w:rsidR="00D82B4C" w:rsidRPr="002B1DCC" w:rsidRDefault="00D82B4C">
    <w:pPr>
      <w:pStyle w:val="Footer"/>
      <w:rPr>
        <w:sz w:val="16"/>
        <w:szCs w:val="16"/>
      </w:rPr>
    </w:pPr>
    <w:r w:rsidRPr="002B1DCC">
      <w:rPr>
        <w:sz w:val="16"/>
        <w:szCs w:val="16"/>
      </w:rPr>
      <w:t>Community Servic</w:t>
    </w:r>
    <w:r w:rsidR="002B1DCC" w:rsidRPr="002B1DCC">
      <w:rPr>
        <w:sz w:val="16"/>
        <w:szCs w:val="16"/>
      </w:rPr>
      <w:t xml:space="preserve">es </w:t>
    </w:r>
    <w:r w:rsidR="003711F8">
      <w:rPr>
        <w:sz w:val="16"/>
        <w:szCs w:val="16"/>
      </w:rPr>
      <w:t>PCSN</w:t>
    </w:r>
    <w:r w:rsidR="002B1DCC" w:rsidRPr="002B1DCC">
      <w:rPr>
        <w:sz w:val="16"/>
        <w:szCs w:val="16"/>
      </w:rPr>
      <w:t xml:space="preserve"> Referral Criteria</w:t>
    </w:r>
  </w:p>
  <w:p w14:paraId="50591E7B" w14:textId="37AB60B2" w:rsidR="002B1DCC" w:rsidRPr="002B1DCC" w:rsidRDefault="003711F8">
    <w:pPr>
      <w:pStyle w:val="Footer"/>
      <w:rPr>
        <w:sz w:val="16"/>
        <w:szCs w:val="16"/>
      </w:rPr>
    </w:pPr>
    <w:r>
      <w:rPr>
        <w:sz w:val="16"/>
        <w:szCs w:val="16"/>
      </w:rPr>
      <w:t>May 2021 SF</w:t>
    </w:r>
  </w:p>
  <w:p w14:paraId="33704F50" w14:textId="77777777" w:rsidR="00D82B4C" w:rsidRDefault="00D82B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2D087" w14:textId="77777777" w:rsidR="0091082D" w:rsidRDefault="0091082D" w:rsidP="00EE7B5E">
      <w:pPr>
        <w:spacing w:after="0" w:line="240" w:lineRule="auto"/>
      </w:pPr>
      <w:r>
        <w:separator/>
      </w:r>
    </w:p>
  </w:footnote>
  <w:footnote w:type="continuationSeparator" w:id="0">
    <w:p w14:paraId="4361AE82" w14:textId="77777777" w:rsidR="0091082D" w:rsidRDefault="0091082D" w:rsidP="00EE7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A10B7"/>
    <w:multiLevelType w:val="hybridMultilevel"/>
    <w:tmpl w:val="BDBC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6548E"/>
    <w:multiLevelType w:val="hybridMultilevel"/>
    <w:tmpl w:val="223CA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A1725"/>
    <w:multiLevelType w:val="hybridMultilevel"/>
    <w:tmpl w:val="4A5E8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07DB3"/>
    <w:multiLevelType w:val="hybridMultilevel"/>
    <w:tmpl w:val="4A5E8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F5210"/>
    <w:multiLevelType w:val="hybridMultilevel"/>
    <w:tmpl w:val="CF9E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91"/>
    <w:rsid w:val="0003618D"/>
    <w:rsid w:val="00050B78"/>
    <w:rsid w:val="00096BDA"/>
    <w:rsid w:val="000A1439"/>
    <w:rsid w:val="000C07D1"/>
    <w:rsid w:val="000E0DDD"/>
    <w:rsid w:val="000F7DE2"/>
    <w:rsid w:val="001067DD"/>
    <w:rsid w:val="001219B7"/>
    <w:rsid w:val="001265C9"/>
    <w:rsid w:val="001A577B"/>
    <w:rsid w:val="001B3403"/>
    <w:rsid w:val="001B75D7"/>
    <w:rsid w:val="001D70F5"/>
    <w:rsid w:val="001E2CF1"/>
    <w:rsid w:val="00204540"/>
    <w:rsid w:val="00210B9F"/>
    <w:rsid w:val="00250B61"/>
    <w:rsid w:val="00280858"/>
    <w:rsid w:val="0028361B"/>
    <w:rsid w:val="00285737"/>
    <w:rsid w:val="0029108D"/>
    <w:rsid w:val="002A4F38"/>
    <w:rsid w:val="002B1DCC"/>
    <w:rsid w:val="003711F8"/>
    <w:rsid w:val="003B73C4"/>
    <w:rsid w:val="003F27DB"/>
    <w:rsid w:val="00411E1F"/>
    <w:rsid w:val="00415298"/>
    <w:rsid w:val="00450AE7"/>
    <w:rsid w:val="004541AA"/>
    <w:rsid w:val="004700FE"/>
    <w:rsid w:val="00480D4B"/>
    <w:rsid w:val="00483568"/>
    <w:rsid w:val="004B3378"/>
    <w:rsid w:val="004C4830"/>
    <w:rsid w:val="004E69DB"/>
    <w:rsid w:val="00541592"/>
    <w:rsid w:val="005B4D00"/>
    <w:rsid w:val="005C1D51"/>
    <w:rsid w:val="005D14E4"/>
    <w:rsid w:val="00624F38"/>
    <w:rsid w:val="00650794"/>
    <w:rsid w:val="0066105C"/>
    <w:rsid w:val="00663240"/>
    <w:rsid w:val="006715A8"/>
    <w:rsid w:val="00672D09"/>
    <w:rsid w:val="006E19AF"/>
    <w:rsid w:val="006F51D1"/>
    <w:rsid w:val="006F63F8"/>
    <w:rsid w:val="00741E9B"/>
    <w:rsid w:val="007B1B68"/>
    <w:rsid w:val="007C4C41"/>
    <w:rsid w:val="007F0091"/>
    <w:rsid w:val="007F77E6"/>
    <w:rsid w:val="00817D5E"/>
    <w:rsid w:val="00871364"/>
    <w:rsid w:val="008A4965"/>
    <w:rsid w:val="008B11AF"/>
    <w:rsid w:val="008B32F2"/>
    <w:rsid w:val="008C681A"/>
    <w:rsid w:val="008D41A8"/>
    <w:rsid w:val="008D5766"/>
    <w:rsid w:val="008E7FAF"/>
    <w:rsid w:val="0091082D"/>
    <w:rsid w:val="00917091"/>
    <w:rsid w:val="00936A11"/>
    <w:rsid w:val="009619C5"/>
    <w:rsid w:val="009A2E03"/>
    <w:rsid w:val="009B1C5B"/>
    <w:rsid w:val="009D7329"/>
    <w:rsid w:val="009E5A1C"/>
    <w:rsid w:val="00A07334"/>
    <w:rsid w:val="00A15074"/>
    <w:rsid w:val="00A3074B"/>
    <w:rsid w:val="00A66914"/>
    <w:rsid w:val="00AF6A04"/>
    <w:rsid w:val="00B11F3D"/>
    <w:rsid w:val="00B315B9"/>
    <w:rsid w:val="00B71285"/>
    <w:rsid w:val="00B92771"/>
    <w:rsid w:val="00BB5218"/>
    <w:rsid w:val="00C14042"/>
    <w:rsid w:val="00C2159D"/>
    <w:rsid w:val="00C85092"/>
    <w:rsid w:val="00CA06AC"/>
    <w:rsid w:val="00CA1F38"/>
    <w:rsid w:val="00CB271D"/>
    <w:rsid w:val="00CE584F"/>
    <w:rsid w:val="00CF5708"/>
    <w:rsid w:val="00D113FA"/>
    <w:rsid w:val="00D34C1F"/>
    <w:rsid w:val="00D52CE6"/>
    <w:rsid w:val="00D712A5"/>
    <w:rsid w:val="00D73CEC"/>
    <w:rsid w:val="00D8096C"/>
    <w:rsid w:val="00D82B4C"/>
    <w:rsid w:val="00D95428"/>
    <w:rsid w:val="00DE322C"/>
    <w:rsid w:val="00DE610D"/>
    <w:rsid w:val="00DF4061"/>
    <w:rsid w:val="00DF61F9"/>
    <w:rsid w:val="00E47341"/>
    <w:rsid w:val="00E52E2B"/>
    <w:rsid w:val="00E80EB7"/>
    <w:rsid w:val="00EB74F9"/>
    <w:rsid w:val="00EB7E91"/>
    <w:rsid w:val="00ED2C10"/>
    <w:rsid w:val="00EE4630"/>
    <w:rsid w:val="00EE7B5E"/>
    <w:rsid w:val="00F048FF"/>
    <w:rsid w:val="00F5283F"/>
    <w:rsid w:val="00F735C9"/>
    <w:rsid w:val="00F84377"/>
    <w:rsid w:val="00F94732"/>
    <w:rsid w:val="00FB1BF4"/>
    <w:rsid w:val="00FD158D"/>
    <w:rsid w:val="014E0243"/>
    <w:rsid w:val="01C9AEBF"/>
    <w:rsid w:val="03DC9978"/>
    <w:rsid w:val="06B44AE9"/>
    <w:rsid w:val="11FDDBEE"/>
    <w:rsid w:val="18B5CFAB"/>
    <w:rsid w:val="1CF1380B"/>
    <w:rsid w:val="2D4195B2"/>
    <w:rsid w:val="3D4C58B9"/>
    <w:rsid w:val="4924ED6B"/>
    <w:rsid w:val="521D8F92"/>
    <w:rsid w:val="66106D2F"/>
    <w:rsid w:val="66B196DA"/>
    <w:rsid w:val="6F2DD0B2"/>
    <w:rsid w:val="707AD82E"/>
    <w:rsid w:val="7552D925"/>
    <w:rsid w:val="79DAB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5B2A5"/>
  <w15:chartTrackingRefBased/>
  <w15:docId w15:val="{5195C3B1-73F1-4A84-A5A0-F844638F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0FE"/>
    <w:pPr>
      <w:ind w:left="720"/>
      <w:contextualSpacing/>
    </w:pPr>
  </w:style>
  <w:style w:type="paragraph" w:customStyle="1" w:styleId="paragraph">
    <w:name w:val="paragraph"/>
    <w:basedOn w:val="Normal"/>
    <w:rsid w:val="007F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77E6"/>
  </w:style>
  <w:style w:type="character" w:customStyle="1" w:styleId="eop">
    <w:name w:val="eop"/>
    <w:basedOn w:val="DefaultParagraphFont"/>
    <w:rsid w:val="007F77E6"/>
  </w:style>
  <w:style w:type="paragraph" w:styleId="Header">
    <w:name w:val="header"/>
    <w:basedOn w:val="Normal"/>
    <w:link w:val="HeaderChar"/>
    <w:uiPriority w:val="99"/>
    <w:unhideWhenUsed/>
    <w:rsid w:val="00EE7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B5E"/>
  </w:style>
  <w:style w:type="paragraph" w:styleId="Footer">
    <w:name w:val="footer"/>
    <w:basedOn w:val="Normal"/>
    <w:link w:val="FooterChar"/>
    <w:uiPriority w:val="99"/>
    <w:unhideWhenUsed/>
    <w:rsid w:val="00EE7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B5E"/>
  </w:style>
  <w:style w:type="table" w:styleId="TableGrid">
    <w:name w:val="Table Grid"/>
    <w:basedOn w:val="TableNormal"/>
    <w:uiPriority w:val="59"/>
    <w:rsid w:val="00EB74F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263C0AD2DE1489C2D3098F2431416" ma:contentTypeVersion="11" ma:contentTypeDescription="Create a new document." ma:contentTypeScope="" ma:versionID="146f248e53e33e0ae0338a461cee22df">
  <xsd:schema xmlns:xsd="http://www.w3.org/2001/XMLSchema" xmlns:xs="http://www.w3.org/2001/XMLSchema" xmlns:p="http://schemas.microsoft.com/office/2006/metadata/properties" xmlns:ns2="cd7286f5-bd2e-48b2-920a-de3e5a7538fc" xmlns:ns3="eeb63066-7c7c-451a-8356-b31bc91dbe38" targetNamespace="http://schemas.microsoft.com/office/2006/metadata/properties" ma:root="true" ma:fieldsID="cd069fca97361835f28305c428479c49" ns2:_="" ns3:_="">
    <xsd:import namespace="cd7286f5-bd2e-48b2-920a-de3e5a7538fc"/>
    <xsd:import namespace="eeb63066-7c7c-451a-8356-b31bc91db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286f5-bd2e-48b2-920a-de3e5a753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63066-7c7c-451a-8356-b31bc91db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BD094-8B46-45E9-97A0-D232D4E7A2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51DFB7-E955-4E2F-BAB4-A8C96CD16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B6B55-BBBD-4643-BE0B-8A415F765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286f5-bd2e-48b2-920a-de3e5a7538fc"/>
    <ds:schemaRef ds:uri="eeb63066-7c7c-451a-8356-b31bc91db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Ashcroft</dc:creator>
  <cp:keywords/>
  <dc:description/>
  <cp:lastModifiedBy>Amy Hughes</cp:lastModifiedBy>
  <cp:revision>2</cp:revision>
  <dcterms:created xsi:type="dcterms:W3CDTF">2021-09-29T12:11:00Z</dcterms:created>
  <dcterms:modified xsi:type="dcterms:W3CDTF">2021-09-29T12:11:00Z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0x010100C8D263C0AD2DE1489C2D3098F2431416</vt:lpwstr>
  </property>
</Properties>
</file>